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31" w:rsidRDefault="00003031" w:rsidP="00003031">
      <w:pPr>
        <w:pStyle w:val="HeaderLine1"/>
        <w:jc w:val="center"/>
        <w:rPr>
          <w:sz w:val="28"/>
          <w:u w:val="single"/>
        </w:rPr>
      </w:pPr>
      <w:r w:rsidRPr="00003031">
        <w:rPr>
          <w:sz w:val="28"/>
          <w:u w:val="single"/>
        </w:rPr>
        <w:t>APPELLATE RIGHTS NOTICE</w:t>
      </w:r>
    </w:p>
    <w:p w:rsidR="00D35924" w:rsidRDefault="00D35924" w:rsidP="00BC0F0F">
      <w:pPr>
        <w:pStyle w:val="HeaderLine1"/>
        <w:contextualSpacing/>
        <w:rPr>
          <w:sz w:val="22"/>
          <w:szCs w:val="22"/>
        </w:rPr>
      </w:pPr>
    </w:p>
    <w:p w:rsidR="00003031" w:rsidRPr="00003031" w:rsidRDefault="00003031" w:rsidP="00003031">
      <w:pPr>
        <w:pStyle w:val="HeaderLine1"/>
        <w:contextualSpacing/>
        <w:jc w:val="center"/>
        <w:rPr>
          <w:sz w:val="22"/>
          <w:szCs w:val="22"/>
        </w:rPr>
      </w:pPr>
      <w:r w:rsidRPr="00003031">
        <w:rPr>
          <w:sz w:val="22"/>
          <w:szCs w:val="22"/>
        </w:rPr>
        <w:t>Post-Trial and Appellate Rights</w:t>
      </w:r>
    </w:p>
    <w:p w:rsidR="00003031" w:rsidRPr="00D35924" w:rsidRDefault="00003031" w:rsidP="00003031">
      <w:pPr>
        <w:pStyle w:val="HeaderLine1"/>
        <w:contextualSpacing/>
        <w:jc w:val="center"/>
        <w:rPr>
          <w:sz w:val="22"/>
          <w:szCs w:val="22"/>
          <w:u w:val="single"/>
        </w:rPr>
      </w:pPr>
      <w:r w:rsidRPr="00D35924">
        <w:rPr>
          <w:sz w:val="22"/>
          <w:szCs w:val="22"/>
          <w:u w:val="single"/>
        </w:rPr>
        <w:t>Direct Appeal</w:t>
      </w:r>
    </w:p>
    <w:p w:rsidR="00003031" w:rsidRDefault="00BC0F0F" w:rsidP="00003031">
      <w:pPr>
        <w:pStyle w:val="HeaderLine1"/>
        <w:contextualSpacing/>
        <w:jc w:val="center"/>
        <w:rPr>
          <w:sz w:val="22"/>
          <w:szCs w:val="22"/>
        </w:rPr>
      </w:pPr>
      <w:r>
        <w:rPr>
          <w:sz w:val="22"/>
          <w:szCs w:val="22"/>
        </w:rPr>
        <w:t>(</w:t>
      </w:r>
      <w:r w:rsidR="00D74952">
        <w:rPr>
          <w:sz w:val="22"/>
          <w:szCs w:val="22"/>
        </w:rPr>
        <w:t xml:space="preserve">General or Special </w:t>
      </w:r>
      <w:r w:rsidR="00003031" w:rsidRPr="00003031">
        <w:rPr>
          <w:sz w:val="22"/>
          <w:szCs w:val="22"/>
        </w:rPr>
        <w:t xml:space="preserve">Court-Martial </w:t>
      </w:r>
      <w:r>
        <w:rPr>
          <w:sz w:val="22"/>
          <w:szCs w:val="22"/>
        </w:rPr>
        <w:t xml:space="preserve">with </w:t>
      </w:r>
      <w:r w:rsidR="00003031" w:rsidRPr="00003031">
        <w:rPr>
          <w:sz w:val="22"/>
          <w:szCs w:val="22"/>
        </w:rPr>
        <w:t>no punitive discharge and more than 6 months but less than 2 years confinement adjudged)</w:t>
      </w:r>
    </w:p>
    <w:p w:rsidR="00D35924" w:rsidRPr="00003031" w:rsidRDefault="00D35924" w:rsidP="00003031">
      <w:pPr>
        <w:pStyle w:val="HeaderLine1"/>
        <w:contextualSpacing/>
        <w:jc w:val="center"/>
        <w:rPr>
          <w:sz w:val="22"/>
          <w:szCs w:val="22"/>
        </w:rPr>
      </w:pPr>
    </w:p>
    <w:p w:rsidR="00003031" w:rsidRDefault="00217B89" w:rsidP="00217B89">
      <w:pPr>
        <w:pStyle w:val="TxBrp4"/>
        <w:spacing w:line="240" w:lineRule="auto"/>
        <w:contextualSpacing/>
        <w:rPr>
          <w:sz w:val="22"/>
          <w:szCs w:val="22"/>
        </w:rPr>
      </w:pPr>
      <w:r>
        <w:rPr>
          <w:sz w:val="22"/>
          <w:szCs w:val="22"/>
        </w:rPr>
        <w:t xml:space="preserve">Per </w:t>
      </w:r>
      <w:r w:rsidR="00BC0F0F">
        <w:rPr>
          <w:sz w:val="22"/>
          <w:szCs w:val="22"/>
        </w:rPr>
        <w:t>Rule for Courts-Martial (RCM)</w:t>
      </w:r>
      <w:r>
        <w:rPr>
          <w:sz w:val="22"/>
          <w:szCs w:val="22"/>
        </w:rPr>
        <w:t xml:space="preserve"> 1106, y</w:t>
      </w:r>
      <w:r w:rsidR="00003031" w:rsidRPr="00003031">
        <w:rPr>
          <w:sz w:val="22"/>
          <w:szCs w:val="22"/>
        </w:rPr>
        <w:t>ou have the right to submit any matters that you wish to the convening authority for (her) (him) to consider before (s</w:t>
      </w:r>
      <w:proofErr w:type="gramStart"/>
      <w:r w:rsidR="00003031" w:rsidRPr="00003031">
        <w:rPr>
          <w:sz w:val="22"/>
          <w:szCs w:val="22"/>
        </w:rPr>
        <w:t>)he</w:t>
      </w:r>
      <w:proofErr w:type="gramEnd"/>
      <w:r w:rsidR="00003031" w:rsidRPr="00003031">
        <w:rPr>
          <w:sz w:val="22"/>
          <w:szCs w:val="22"/>
        </w:rPr>
        <w:t xml:space="preserve"> takes action on your case. These matters must be submitted to the convening authority within 10 days after the sentence is announced. The convening authority may extend this period for good cause but for not more than 20 additional days.  Where a crime victim submits matters for the convening authority to consider under R</w:t>
      </w:r>
      <w:r w:rsidR="00BC0F0F">
        <w:rPr>
          <w:sz w:val="22"/>
          <w:szCs w:val="22"/>
        </w:rPr>
        <w:t>CM</w:t>
      </w:r>
      <w:r w:rsidR="00003031" w:rsidRPr="00003031">
        <w:rPr>
          <w:sz w:val="22"/>
          <w:szCs w:val="22"/>
        </w:rPr>
        <w:t xml:space="preserve"> 1106A, you have 5 days from receipt of those matters to submit any matters in rebuttal.</w:t>
      </w:r>
    </w:p>
    <w:p w:rsidR="00BC0F0F" w:rsidRPr="00003031" w:rsidRDefault="00BC0F0F" w:rsidP="00217B89">
      <w:pPr>
        <w:pStyle w:val="TxBrp4"/>
        <w:spacing w:line="240" w:lineRule="auto"/>
        <w:contextualSpacing/>
      </w:pPr>
    </w:p>
    <w:p w:rsidR="00003031" w:rsidRPr="00003031" w:rsidRDefault="00003031" w:rsidP="00003031">
      <w:pPr>
        <w:pStyle w:val="TxBrp4"/>
        <w:spacing w:line="240" w:lineRule="auto"/>
        <w:contextualSpacing/>
        <w:rPr>
          <w:sz w:val="22"/>
          <w:szCs w:val="22"/>
        </w:rPr>
      </w:pPr>
      <w:r w:rsidRPr="00003031">
        <w:rPr>
          <w:sz w:val="22"/>
          <w:szCs w:val="22"/>
        </w:rPr>
        <w:t xml:space="preserve">After entry of judgment, unless you waive appellate review, you may appeal your case to the Coast Guard Court of Criminal Appeals. You have 90 days from the date </w:t>
      </w:r>
      <w:r w:rsidR="00217B89">
        <w:rPr>
          <w:sz w:val="22"/>
          <w:szCs w:val="22"/>
        </w:rPr>
        <w:t>that notice of your right to appeal is provided from the Office of Milit</w:t>
      </w:r>
      <w:r w:rsidR="00BC0F0F">
        <w:rPr>
          <w:sz w:val="22"/>
          <w:szCs w:val="22"/>
        </w:rPr>
        <w:t>ary Justice (CG-LMJ) to appeal</w:t>
      </w:r>
      <w:r w:rsidRPr="00003031">
        <w:rPr>
          <w:sz w:val="22"/>
          <w:szCs w:val="22"/>
        </w:rPr>
        <w:t>.  You are entitled to be represented by counsel before that court. Military counsel will be appointed to represent you at no cost to you and, if you so choose, you may be represented by civilian counsel at n</w:t>
      </w:r>
      <w:r w:rsidR="00BC0F0F">
        <w:rPr>
          <w:sz w:val="22"/>
          <w:szCs w:val="22"/>
        </w:rPr>
        <w:t xml:space="preserve">o expense to the United States.  </w:t>
      </w:r>
      <w:r w:rsidRPr="00003031">
        <w:rPr>
          <w:sz w:val="22"/>
          <w:szCs w:val="22"/>
        </w:rPr>
        <w:t xml:space="preserve">The Court of Criminal Appeals will review your case for any legal error, for factual sufficiency, and for appropriateness of sentence.  If you fail to appeal your case within 90 days of being notified </w:t>
      </w:r>
      <w:r w:rsidR="00217B89">
        <w:rPr>
          <w:sz w:val="22"/>
          <w:szCs w:val="22"/>
        </w:rPr>
        <w:t>by CG-LMJ,</w:t>
      </w:r>
      <w:r w:rsidRPr="00003031">
        <w:rPr>
          <w:sz w:val="22"/>
          <w:szCs w:val="22"/>
        </w:rPr>
        <w:t xml:space="preserve"> your case will be reviewed by a judge advocate </w:t>
      </w:r>
      <w:r w:rsidR="00217B89">
        <w:rPr>
          <w:sz w:val="22"/>
          <w:szCs w:val="22"/>
        </w:rPr>
        <w:t xml:space="preserve">in that office </w:t>
      </w:r>
      <w:r w:rsidR="00BC0F0F">
        <w:rPr>
          <w:sz w:val="22"/>
          <w:szCs w:val="22"/>
        </w:rPr>
        <w:t xml:space="preserve">under RCM </w:t>
      </w:r>
      <w:r w:rsidRPr="00003031">
        <w:rPr>
          <w:sz w:val="22"/>
          <w:szCs w:val="22"/>
        </w:rPr>
        <w:t>1201.</w:t>
      </w:r>
    </w:p>
    <w:p w:rsidR="00003031" w:rsidRPr="00003031" w:rsidRDefault="00003031" w:rsidP="00003031">
      <w:pPr>
        <w:pStyle w:val="TxBrp4"/>
        <w:spacing w:line="240" w:lineRule="auto"/>
        <w:contextualSpacing/>
        <w:rPr>
          <w:sz w:val="22"/>
          <w:szCs w:val="22"/>
        </w:rPr>
      </w:pPr>
    </w:p>
    <w:p w:rsidR="00BC0F0F" w:rsidRPr="00003031" w:rsidRDefault="00003031" w:rsidP="00003031">
      <w:pPr>
        <w:pStyle w:val="TxBrp4"/>
        <w:spacing w:line="240" w:lineRule="auto"/>
        <w:contextualSpacing/>
        <w:rPr>
          <w:sz w:val="22"/>
          <w:szCs w:val="22"/>
        </w:rPr>
      </w:pPr>
      <w:r w:rsidRPr="00003031">
        <w:rPr>
          <w:sz w:val="22"/>
          <w:szCs w:val="22"/>
        </w:rPr>
        <w:t xml:space="preserve">After the Court of Criminal Appeals completes its review, your case could be reviewed, on your request or otherwise, by the Court of Appeals for the Armed Forces and, if it were reviewed by the Court of Appeals for the Armed Forces, it might be further reviewed by the Supreme Court of the United States. You would have the same rights to counsel before those courts as you have before the Court of Criminal Appeals. If you waive appellate review, you give up the rights I have just described. </w:t>
      </w:r>
      <w:r w:rsidR="00BC0F0F">
        <w:rPr>
          <w:sz w:val="22"/>
          <w:szCs w:val="22"/>
        </w:rPr>
        <w:t xml:space="preserve">See </w:t>
      </w:r>
      <w:r w:rsidRPr="00003031">
        <w:rPr>
          <w:sz w:val="22"/>
          <w:szCs w:val="22"/>
        </w:rPr>
        <w:t>Article 61, UCMJ</w:t>
      </w:r>
      <w:r w:rsidR="00B42B70">
        <w:rPr>
          <w:sz w:val="22"/>
          <w:szCs w:val="22"/>
        </w:rPr>
        <w:t>.</w:t>
      </w:r>
      <w:r w:rsidRPr="00003031">
        <w:rPr>
          <w:sz w:val="22"/>
          <w:szCs w:val="22"/>
        </w:rPr>
        <w:t xml:space="preserve"> </w:t>
      </w:r>
      <w:bookmarkStart w:id="0" w:name="_GoBack"/>
      <w:bookmarkEnd w:id="0"/>
    </w:p>
    <w:p w:rsidR="00003031" w:rsidRPr="00003031" w:rsidRDefault="00003031" w:rsidP="00003031">
      <w:pPr>
        <w:pStyle w:val="TxBrp4"/>
        <w:spacing w:line="240" w:lineRule="auto"/>
        <w:contextualSpacing/>
        <w:rPr>
          <w:sz w:val="22"/>
          <w:szCs w:val="22"/>
        </w:rPr>
      </w:pPr>
      <w:r w:rsidRPr="00003031">
        <w:rPr>
          <w:i/>
          <w:sz w:val="22"/>
          <w:szCs w:val="22"/>
        </w:rPr>
        <w:t>[Note: An accused may not waive or withdraw appellate review in a general court-martial in which the approved sentence includes death. See RCM 1110.]</w:t>
      </w:r>
    </w:p>
    <w:p w:rsidR="00003031" w:rsidRPr="00003031" w:rsidRDefault="00003031" w:rsidP="00003031">
      <w:pPr>
        <w:pStyle w:val="TxBrp4"/>
        <w:spacing w:line="240" w:lineRule="auto"/>
        <w:contextualSpacing/>
        <w:rPr>
          <w:sz w:val="22"/>
          <w:szCs w:val="22"/>
        </w:rPr>
      </w:pPr>
    </w:p>
    <w:p w:rsidR="00003031" w:rsidRPr="00003031" w:rsidRDefault="00003031" w:rsidP="00003031">
      <w:pPr>
        <w:pStyle w:val="TxBrp4"/>
        <w:spacing w:line="240" w:lineRule="auto"/>
        <w:contextualSpacing/>
        <w:rPr>
          <w:sz w:val="22"/>
          <w:szCs w:val="22"/>
        </w:rPr>
      </w:pPr>
      <w:r w:rsidRPr="00003031">
        <w:rPr>
          <w:sz w:val="22"/>
          <w:szCs w:val="22"/>
        </w:rPr>
        <w:t>If you do not waive appellate review, you may withdraw your case from appellate review at a later time, before that review is completed.</w:t>
      </w:r>
    </w:p>
    <w:p w:rsidR="00003031" w:rsidRPr="00003031" w:rsidRDefault="00003031" w:rsidP="00003031">
      <w:pPr>
        <w:pStyle w:val="TxBrp4"/>
        <w:spacing w:line="240" w:lineRule="auto"/>
        <w:contextualSpacing/>
        <w:rPr>
          <w:sz w:val="22"/>
          <w:szCs w:val="22"/>
        </w:rPr>
      </w:pPr>
    </w:p>
    <w:p w:rsidR="00003031" w:rsidRPr="00003031" w:rsidRDefault="00003031" w:rsidP="00003031">
      <w:pPr>
        <w:pStyle w:val="TxBrp4"/>
        <w:spacing w:line="240" w:lineRule="auto"/>
        <w:contextualSpacing/>
        <w:rPr>
          <w:sz w:val="22"/>
          <w:szCs w:val="22"/>
        </w:rPr>
      </w:pPr>
      <w:r w:rsidRPr="00003031">
        <w:rPr>
          <w:sz w:val="22"/>
          <w:szCs w:val="22"/>
        </w:rPr>
        <w:t>If you do waive or later withdraw your case from appellate review, you cannot change your mind later. Once you file a waiver or withdrawal, your decision is final and appellate review is barred.</w:t>
      </w:r>
    </w:p>
    <w:p w:rsidR="00003031" w:rsidRPr="00003031" w:rsidRDefault="00003031" w:rsidP="00003031">
      <w:pPr>
        <w:pStyle w:val="TxBrp4"/>
        <w:spacing w:line="240" w:lineRule="auto"/>
        <w:contextualSpacing/>
        <w:rPr>
          <w:sz w:val="22"/>
          <w:szCs w:val="22"/>
        </w:rPr>
      </w:pPr>
    </w:p>
    <w:p w:rsidR="000A712D" w:rsidRPr="00003031" w:rsidRDefault="00003031" w:rsidP="000A712D">
      <w:pPr>
        <w:pStyle w:val="TxBrp4"/>
        <w:spacing w:line="240" w:lineRule="auto"/>
        <w:contextualSpacing/>
        <w:rPr>
          <w:sz w:val="22"/>
          <w:szCs w:val="22"/>
        </w:rPr>
      </w:pPr>
      <w:r w:rsidRPr="00003031">
        <w:rPr>
          <w:sz w:val="22"/>
          <w:szCs w:val="22"/>
        </w:rPr>
        <w:t>If you waive or withdraw from appellate review</w:t>
      </w:r>
      <w:r w:rsidR="00842296">
        <w:rPr>
          <w:sz w:val="22"/>
          <w:szCs w:val="22"/>
        </w:rPr>
        <w:t xml:space="preserve"> or failed to file a timely appeal</w:t>
      </w:r>
      <w:r w:rsidRPr="00003031">
        <w:rPr>
          <w:sz w:val="22"/>
          <w:szCs w:val="22"/>
        </w:rPr>
        <w:t>, your case will be reviewed by a judge advocate.</w:t>
      </w:r>
      <w:r w:rsidR="000A712D">
        <w:rPr>
          <w:sz w:val="22"/>
          <w:szCs w:val="22"/>
        </w:rPr>
        <w:t xml:space="preserve"> </w:t>
      </w:r>
      <w:r w:rsidR="000A712D" w:rsidRPr="00003031">
        <w:rPr>
          <w:sz w:val="22"/>
          <w:szCs w:val="22"/>
        </w:rPr>
        <w:t xml:space="preserve">The record of trial will be examined </w:t>
      </w:r>
      <w:r w:rsidR="000A712D">
        <w:rPr>
          <w:sz w:val="22"/>
          <w:szCs w:val="22"/>
        </w:rPr>
        <w:t>and the reviewing j</w:t>
      </w:r>
      <w:r w:rsidR="000A712D" w:rsidRPr="00003031">
        <w:rPr>
          <w:sz w:val="22"/>
          <w:szCs w:val="22"/>
        </w:rPr>
        <w:t xml:space="preserve">udge </w:t>
      </w:r>
      <w:r w:rsidR="000A712D">
        <w:rPr>
          <w:sz w:val="22"/>
          <w:szCs w:val="22"/>
        </w:rPr>
        <w:t>a</w:t>
      </w:r>
      <w:r w:rsidR="000A712D" w:rsidRPr="00003031">
        <w:rPr>
          <w:sz w:val="22"/>
          <w:szCs w:val="22"/>
        </w:rPr>
        <w:t>dvocate</w:t>
      </w:r>
      <w:r w:rsidR="000A712D">
        <w:rPr>
          <w:sz w:val="22"/>
          <w:szCs w:val="22"/>
        </w:rPr>
        <w:t xml:space="preserve"> will provide written conclusions as to: (1) whether the court has jurisdiction over the accused and the offense; (2) whether each charge and specification stated an offense; and (3) whether the sentence was within the limits prescribed. If the reviewing j</w:t>
      </w:r>
      <w:r w:rsidR="000A712D" w:rsidRPr="00003031">
        <w:rPr>
          <w:sz w:val="22"/>
          <w:szCs w:val="22"/>
        </w:rPr>
        <w:t xml:space="preserve">udge </w:t>
      </w:r>
      <w:r w:rsidR="000A712D">
        <w:rPr>
          <w:sz w:val="22"/>
          <w:szCs w:val="22"/>
        </w:rPr>
        <w:t>a</w:t>
      </w:r>
      <w:r w:rsidR="000A712D" w:rsidRPr="00003031">
        <w:rPr>
          <w:sz w:val="22"/>
          <w:szCs w:val="22"/>
        </w:rPr>
        <w:t xml:space="preserve">dvocate </w:t>
      </w:r>
      <w:r w:rsidR="000A712D">
        <w:rPr>
          <w:sz w:val="22"/>
          <w:szCs w:val="22"/>
        </w:rPr>
        <w:t xml:space="preserve">believes </w:t>
      </w:r>
      <w:r w:rsidR="000A712D" w:rsidRPr="00003031">
        <w:rPr>
          <w:sz w:val="22"/>
          <w:szCs w:val="22"/>
        </w:rPr>
        <w:t>corrective action</w:t>
      </w:r>
      <w:r w:rsidR="000A712D">
        <w:rPr>
          <w:sz w:val="22"/>
          <w:szCs w:val="22"/>
        </w:rPr>
        <w:t xml:space="preserve"> is</w:t>
      </w:r>
      <w:r w:rsidR="000A712D" w:rsidRPr="00003031">
        <w:rPr>
          <w:sz w:val="22"/>
          <w:szCs w:val="22"/>
        </w:rPr>
        <w:t xml:space="preserve"> appropriate, the record of trial </w:t>
      </w:r>
      <w:r w:rsidR="000A712D">
        <w:rPr>
          <w:sz w:val="22"/>
          <w:szCs w:val="22"/>
        </w:rPr>
        <w:t xml:space="preserve">will </w:t>
      </w:r>
      <w:r w:rsidR="000A712D" w:rsidRPr="00003031">
        <w:rPr>
          <w:sz w:val="22"/>
          <w:szCs w:val="22"/>
        </w:rPr>
        <w:t xml:space="preserve">be sent to </w:t>
      </w:r>
      <w:r w:rsidR="000A712D">
        <w:rPr>
          <w:sz w:val="22"/>
          <w:szCs w:val="22"/>
        </w:rPr>
        <w:t xml:space="preserve">The Judge Advocate General of the </w:t>
      </w:r>
      <w:r w:rsidR="000A712D" w:rsidRPr="00003031">
        <w:rPr>
          <w:sz w:val="22"/>
          <w:szCs w:val="22"/>
        </w:rPr>
        <w:t xml:space="preserve">Coast Guard </w:t>
      </w:r>
      <w:r w:rsidR="000A712D">
        <w:rPr>
          <w:sz w:val="22"/>
          <w:szCs w:val="22"/>
        </w:rPr>
        <w:t>who may modify or set aside the findings and sentence, in whole or in part, order a rehearing, or dismiss the charges</w:t>
      </w:r>
      <w:r w:rsidR="000A712D" w:rsidRPr="00003031">
        <w:rPr>
          <w:sz w:val="22"/>
          <w:szCs w:val="22"/>
        </w:rPr>
        <w:t>.</w:t>
      </w:r>
      <w:r w:rsidR="000A712D">
        <w:rPr>
          <w:sz w:val="22"/>
          <w:szCs w:val="22"/>
        </w:rPr>
        <w:t xml:space="preserve">  See RCM 1201. </w:t>
      </w:r>
    </w:p>
    <w:p w:rsidR="000A712D" w:rsidRDefault="000A712D" w:rsidP="000A712D">
      <w:pPr>
        <w:pStyle w:val="TxBrp4"/>
        <w:spacing w:line="240" w:lineRule="auto"/>
        <w:contextualSpacing/>
        <w:rPr>
          <w:snapToGrid/>
          <w:sz w:val="22"/>
          <w:szCs w:val="22"/>
        </w:rPr>
      </w:pPr>
    </w:p>
    <w:p w:rsidR="00BC0F0F" w:rsidRPr="00003031" w:rsidRDefault="00BC0F0F" w:rsidP="00BC0F0F">
      <w:pPr>
        <w:ind w:left="6480"/>
        <w:contextualSpacing/>
        <w:jc w:val="center"/>
        <w:rPr>
          <w:sz w:val="22"/>
          <w:szCs w:val="22"/>
        </w:rPr>
      </w:pPr>
      <w:r w:rsidRPr="00003031">
        <w:rPr>
          <w:sz w:val="22"/>
          <w:szCs w:val="22"/>
        </w:rPr>
        <w:t xml:space="preserve">App. Ex. </w:t>
      </w:r>
      <w:r w:rsidRPr="00003031">
        <w:rPr>
          <w:sz w:val="22"/>
          <w:szCs w:val="22"/>
          <w:u w:val="single"/>
        </w:rPr>
        <w:tab/>
      </w:r>
      <w:r w:rsidRPr="00003031">
        <w:rPr>
          <w:sz w:val="22"/>
          <w:szCs w:val="22"/>
        </w:rPr>
        <w:t>(</w:t>
      </w:r>
      <w:r>
        <w:rPr>
          <w:sz w:val="22"/>
          <w:szCs w:val="22"/>
        </w:rPr>
        <w:t>1</w:t>
      </w:r>
      <w:r w:rsidRPr="00003031">
        <w:rPr>
          <w:sz w:val="22"/>
          <w:szCs w:val="22"/>
        </w:rPr>
        <w:t xml:space="preserve"> of </w:t>
      </w:r>
      <w:r>
        <w:rPr>
          <w:sz w:val="22"/>
          <w:szCs w:val="22"/>
        </w:rPr>
        <w:t>2</w:t>
      </w:r>
      <w:r w:rsidRPr="00003031">
        <w:rPr>
          <w:sz w:val="22"/>
          <w:szCs w:val="22"/>
        </w:rPr>
        <w:t>)</w:t>
      </w:r>
    </w:p>
    <w:p w:rsidR="00BC0F0F" w:rsidRDefault="00BC0F0F" w:rsidP="000A712D">
      <w:pPr>
        <w:pStyle w:val="TxBrp4"/>
        <w:spacing w:line="240" w:lineRule="auto"/>
        <w:contextualSpacing/>
        <w:rPr>
          <w:snapToGrid/>
          <w:sz w:val="22"/>
          <w:szCs w:val="22"/>
        </w:rPr>
      </w:pPr>
    </w:p>
    <w:p w:rsidR="00003031" w:rsidRPr="000A712D" w:rsidRDefault="000A712D" w:rsidP="000A712D">
      <w:pPr>
        <w:pStyle w:val="TxBrp4"/>
        <w:spacing w:line="240" w:lineRule="auto"/>
        <w:contextualSpacing/>
        <w:rPr>
          <w:sz w:val="22"/>
          <w:szCs w:val="22"/>
        </w:rPr>
      </w:pPr>
      <w:r>
        <w:rPr>
          <w:snapToGrid/>
          <w:sz w:val="22"/>
          <w:szCs w:val="22"/>
        </w:rPr>
        <w:t xml:space="preserve">Not later than one year after receiving a copy of the final results of the review described above, you may submit an application </w:t>
      </w:r>
      <w:r w:rsidR="00BC0F0F">
        <w:rPr>
          <w:snapToGrid/>
          <w:sz w:val="22"/>
          <w:szCs w:val="22"/>
        </w:rPr>
        <w:t xml:space="preserve">to </w:t>
      </w:r>
      <w:r>
        <w:rPr>
          <w:sz w:val="22"/>
          <w:szCs w:val="22"/>
        </w:rPr>
        <w:t xml:space="preserve">The Judge Advocate General of the </w:t>
      </w:r>
      <w:r w:rsidRPr="00003031">
        <w:rPr>
          <w:sz w:val="22"/>
          <w:szCs w:val="22"/>
        </w:rPr>
        <w:t>Coast Guard</w:t>
      </w:r>
      <w:r>
        <w:rPr>
          <w:snapToGrid/>
          <w:sz w:val="22"/>
          <w:szCs w:val="22"/>
        </w:rPr>
        <w:t>.</w:t>
      </w:r>
      <w:r w:rsidRPr="00FB0820">
        <w:rPr>
          <w:sz w:val="22"/>
          <w:szCs w:val="22"/>
        </w:rPr>
        <w:t xml:space="preserve"> </w:t>
      </w:r>
      <w:r>
        <w:rPr>
          <w:sz w:val="22"/>
          <w:szCs w:val="22"/>
        </w:rPr>
        <w:t xml:space="preserve">The Judge Advocate General of the </w:t>
      </w:r>
      <w:r w:rsidRPr="00003031">
        <w:rPr>
          <w:sz w:val="22"/>
          <w:szCs w:val="22"/>
        </w:rPr>
        <w:t>Coast Guard</w:t>
      </w:r>
      <w:r>
        <w:rPr>
          <w:snapToGrid/>
          <w:sz w:val="22"/>
          <w:szCs w:val="22"/>
        </w:rPr>
        <w:t xml:space="preserve"> </w:t>
      </w:r>
      <w:r w:rsidRPr="00003031">
        <w:rPr>
          <w:sz w:val="22"/>
          <w:szCs w:val="22"/>
        </w:rPr>
        <w:t>may for good cause</w:t>
      </w:r>
      <w:r>
        <w:rPr>
          <w:sz w:val="22"/>
          <w:szCs w:val="22"/>
        </w:rPr>
        <w:t xml:space="preserve"> shown extend the</w:t>
      </w:r>
      <w:r w:rsidRPr="00003031">
        <w:rPr>
          <w:sz w:val="22"/>
          <w:szCs w:val="22"/>
        </w:rPr>
        <w:t xml:space="preserve"> period</w:t>
      </w:r>
      <w:r>
        <w:rPr>
          <w:sz w:val="22"/>
          <w:szCs w:val="22"/>
        </w:rPr>
        <w:t xml:space="preserve"> of submission not to exceed two </w:t>
      </w:r>
      <w:r w:rsidRPr="000A712D">
        <w:rPr>
          <w:sz w:val="22"/>
          <w:szCs w:val="22"/>
        </w:rPr>
        <w:t>additional years. The Judge Advocate General of the Coast Guard</w:t>
      </w:r>
      <w:r w:rsidRPr="000A712D">
        <w:rPr>
          <w:snapToGrid/>
          <w:sz w:val="22"/>
          <w:szCs w:val="22"/>
        </w:rPr>
        <w:t xml:space="preserve"> </w:t>
      </w:r>
      <w:r w:rsidRPr="000A712D">
        <w:rPr>
          <w:rFonts w:eastAsia="Calibri"/>
          <w:sz w:val="22"/>
          <w:szCs w:val="22"/>
        </w:rPr>
        <w:t>review is limited to the issue of whether the accused’s waiver, withdrawal, or failure to file was invalid under the law. See RCM 1201(h)</w:t>
      </w:r>
      <w:r w:rsidR="00964982">
        <w:rPr>
          <w:rFonts w:eastAsia="Calibri"/>
          <w:sz w:val="22"/>
          <w:szCs w:val="22"/>
        </w:rPr>
        <w:t>(4)(B)</w:t>
      </w:r>
      <w:r>
        <w:rPr>
          <w:rFonts w:eastAsia="Calibri"/>
          <w:sz w:val="22"/>
          <w:szCs w:val="22"/>
        </w:rPr>
        <w:t>.</w:t>
      </w:r>
      <w:r w:rsidR="00003031" w:rsidRPr="000A712D">
        <w:rPr>
          <w:sz w:val="22"/>
          <w:szCs w:val="22"/>
        </w:rPr>
        <w:t xml:space="preserve"> </w:t>
      </w:r>
    </w:p>
    <w:p w:rsidR="00BC0F0F" w:rsidRPr="00003031" w:rsidRDefault="00003031" w:rsidP="00BC0F0F">
      <w:pPr>
        <w:pStyle w:val="TxBrt2"/>
        <w:tabs>
          <w:tab w:val="left" w:pos="5799"/>
          <w:tab w:val="left" w:pos="7562"/>
        </w:tabs>
        <w:spacing w:line="240" w:lineRule="auto"/>
        <w:contextualSpacing/>
        <w:rPr>
          <w:b/>
          <w:sz w:val="22"/>
          <w:szCs w:val="22"/>
          <w:u w:val="single"/>
        </w:rPr>
      </w:pPr>
      <w:r w:rsidRPr="00003031">
        <w:rPr>
          <w:sz w:val="22"/>
          <w:szCs w:val="22"/>
        </w:rPr>
        <w:tab/>
      </w:r>
    </w:p>
    <w:p w:rsidR="00003031" w:rsidRPr="00003031" w:rsidRDefault="00003031" w:rsidP="00003031">
      <w:pPr>
        <w:pStyle w:val="TxBrt2"/>
        <w:tabs>
          <w:tab w:val="left" w:pos="5799"/>
          <w:tab w:val="left" w:pos="7562"/>
        </w:tabs>
        <w:spacing w:line="240" w:lineRule="auto"/>
        <w:contextualSpacing/>
        <w:rPr>
          <w:sz w:val="22"/>
          <w:szCs w:val="22"/>
        </w:rPr>
      </w:pPr>
      <w:r w:rsidRPr="00003031">
        <w:rPr>
          <w:b/>
          <w:sz w:val="22"/>
          <w:szCs w:val="22"/>
          <w:u w:val="single"/>
        </w:rPr>
        <w:t>CERTIFICATION OF ADVISEMENT</w:t>
      </w:r>
      <w:r w:rsidRPr="00003031">
        <w:rPr>
          <w:b/>
          <w:sz w:val="22"/>
          <w:szCs w:val="22"/>
        </w:rPr>
        <w:t>.</w:t>
      </w:r>
    </w:p>
    <w:p w:rsidR="00003031" w:rsidRPr="00003031" w:rsidRDefault="00003031" w:rsidP="00003031">
      <w:pPr>
        <w:tabs>
          <w:tab w:val="left" w:pos="204"/>
        </w:tabs>
        <w:contextualSpacing/>
        <w:rPr>
          <w:b/>
          <w:sz w:val="22"/>
          <w:szCs w:val="22"/>
          <w:u w:val="single"/>
        </w:rPr>
      </w:pPr>
    </w:p>
    <w:p w:rsidR="00003031" w:rsidRPr="00003031" w:rsidRDefault="00003031" w:rsidP="00003031">
      <w:pPr>
        <w:pStyle w:val="TxBrp4"/>
        <w:spacing w:line="240" w:lineRule="auto"/>
        <w:contextualSpacing/>
        <w:rPr>
          <w:sz w:val="22"/>
          <w:szCs w:val="22"/>
        </w:rPr>
      </w:pPr>
      <w:r w:rsidRPr="00003031">
        <w:rPr>
          <w:sz w:val="22"/>
          <w:szCs w:val="22"/>
        </w:rPr>
        <w:t>I certify that I have been advised of the foregoing post-trial and appellate rights by my defense counsel, ____________________, in accordance with Rule for Courts-Martial 1010. I have read and fully understand these rights. My defense counsel has gone over these rights with me and has answered all of my questions satisfactorily.</w:t>
      </w:r>
    </w:p>
    <w:p w:rsidR="00003031" w:rsidRPr="00003031" w:rsidRDefault="00003031" w:rsidP="00003031">
      <w:pPr>
        <w:tabs>
          <w:tab w:val="left" w:pos="204"/>
        </w:tabs>
        <w:contextualSpacing/>
        <w:rPr>
          <w:sz w:val="22"/>
          <w:szCs w:val="22"/>
        </w:rPr>
      </w:pPr>
    </w:p>
    <w:p w:rsidR="00003031" w:rsidRPr="00003031" w:rsidRDefault="00003031" w:rsidP="00003031">
      <w:pPr>
        <w:tabs>
          <w:tab w:val="left" w:pos="204"/>
        </w:tabs>
        <w:contextualSpacing/>
        <w:rPr>
          <w:sz w:val="22"/>
          <w:szCs w:val="22"/>
        </w:rPr>
      </w:pPr>
    </w:p>
    <w:p w:rsidR="00003031" w:rsidRPr="00003031" w:rsidRDefault="00003031" w:rsidP="00003031">
      <w:pPr>
        <w:tabs>
          <w:tab w:val="left" w:pos="204"/>
          <w:tab w:val="left" w:pos="4320"/>
        </w:tabs>
        <w:contextualSpacing/>
        <w:rPr>
          <w:sz w:val="22"/>
          <w:szCs w:val="22"/>
          <w:u w:val="single"/>
        </w:rPr>
      </w:pPr>
      <w:r w:rsidRPr="00003031">
        <w:rPr>
          <w:sz w:val="22"/>
          <w:szCs w:val="22"/>
          <w:u w:val="single"/>
        </w:rPr>
        <w:tab/>
      </w:r>
      <w:r w:rsidRPr="00003031">
        <w:rPr>
          <w:sz w:val="22"/>
          <w:szCs w:val="22"/>
          <w:u w:val="single"/>
        </w:rPr>
        <w:tab/>
      </w:r>
    </w:p>
    <w:p w:rsidR="00003031" w:rsidRPr="00003031" w:rsidRDefault="00003031" w:rsidP="00003031">
      <w:pPr>
        <w:pStyle w:val="TxBrp7"/>
        <w:spacing w:line="240" w:lineRule="auto"/>
        <w:ind w:left="2155"/>
        <w:contextualSpacing/>
        <w:rPr>
          <w:sz w:val="22"/>
          <w:szCs w:val="22"/>
        </w:rPr>
      </w:pPr>
      <w:r w:rsidRPr="00003031">
        <w:rPr>
          <w:sz w:val="22"/>
          <w:szCs w:val="22"/>
        </w:rPr>
        <w:t>Accused</w:t>
      </w:r>
    </w:p>
    <w:p w:rsidR="00003031" w:rsidRPr="00003031" w:rsidRDefault="00003031" w:rsidP="00003031">
      <w:pPr>
        <w:pStyle w:val="TxBrc8"/>
        <w:tabs>
          <w:tab w:val="left" w:pos="2154"/>
        </w:tabs>
        <w:spacing w:line="240" w:lineRule="auto"/>
        <w:contextualSpacing/>
        <w:rPr>
          <w:sz w:val="22"/>
          <w:szCs w:val="22"/>
        </w:rPr>
      </w:pPr>
    </w:p>
    <w:p w:rsidR="00003031" w:rsidRPr="00003031" w:rsidRDefault="00003031" w:rsidP="00003031">
      <w:pPr>
        <w:pStyle w:val="TxBrc8"/>
        <w:tabs>
          <w:tab w:val="left" w:pos="2154"/>
        </w:tabs>
        <w:spacing w:line="240" w:lineRule="auto"/>
        <w:contextualSpacing/>
        <w:jc w:val="left"/>
        <w:rPr>
          <w:sz w:val="22"/>
          <w:szCs w:val="22"/>
        </w:rPr>
      </w:pPr>
      <w:r w:rsidRPr="00003031">
        <w:rPr>
          <w:sz w:val="22"/>
          <w:szCs w:val="22"/>
        </w:rPr>
        <w:t>I certify that I have carefully explained the foregoing rights to the accused.</w:t>
      </w:r>
    </w:p>
    <w:p w:rsidR="00003031" w:rsidRPr="00003031" w:rsidRDefault="00003031" w:rsidP="00003031">
      <w:pPr>
        <w:tabs>
          <w:tab w:val="left" w:pos="2154"/>
        </w:tabs>
        <w:contextualSpacing/>
        <w:rPr>
          <w:sz w:val="22"/>
          <w:szCs w:val="22"/>
        </w:rPr>
      </w:pPr>
    </w:p>
    <w:p w:rsidR="00003031" w:rsidRPr="00003031" w:rsidRDefault="00003031" w:rsidP="00003031">
      <w:pPr>
        <w:tabs>
          <w:tab w:val="left" w:pos="2154"/>
        </w:tabs>
        <w:contextualSpacing/>
        <w:rPr>
          <w:sz w:val="22"/>
          <w:szCs w:val="22"/>
        </w:rPr>
      </w:pPr>
    </w:p>
    <w:p w:rsidR="00003031" w:rsidRPr="00003031" w:rsidRDefault="00003031" w:rsidP="00003031">
      <w:pPr>
        <w:tabs>
          <w:tab w:val="left" w:pos="2154"/>
        </w:tabs>
        <w:contextualSpacing/>
        <w:rPr>
          <w:sz w:val="22"/>
          <w:szCs w:val="22"/>
        </w:rPr>
      </w:pPr>
    </w:p>
    <w:p w:rsidR="00003031" w:rsidRPr="00003031" w:rsidRDefault="00003031" w:rsidP="00003031">
      <w:pPr>
        <w:tabs>
          <w:tab w:val="left" w:pos="2154"/>
          <w:tab w:val="left" w:pos="4320"/>
        </w:tabs>
        <w:contextualSpacing/>
        <w:rPr>
          <w:sz w:val="22"/>
          <w:szCs w:val="22"/>
          <w:u w:val="single"/>
        </w:rPr>
      </w:pPr>
      <w:r w:rsidRPr="00003031">
        <w:rPr>
          <w:sz w:val="22"/>
          <w:szCs w:val="22"/>
          <w:u w:val="single"/>
        </w:rPr>
        <w:tab/>
      </w:r>
      <w:r w:rsidRPr="00003031">
        <w:rPr>
          <w:sz w:val="22"/>
          <w:szCs w:val="22"/>
          <w:u w:val="single"/>
        </w:rPr>
        <w:tab/>
      </w:r>
    </w:p>
    <w:p w:rsidR="00003031" w:rsidRPr="00003031" w:rsidRDefault="00003031" w:rsidP="00003031">
      <w:pPr>
        <w:pStyle w:val="TxBrp9"/>
        <w:spacing w:line="240" w:lineRule="auto"/>
        <w:ind w:left="1928"/>
        <w:contextualSpacing/>
        <w:rPr>
          <w:sz w:val="22"/>
          <w:szCs w:val="22"/>
        </w:rPr>
      </w:pPr>
      <w:r w:rsidRPr="00003031">
        <w:rPr>
          <w:sz w:val="22"/>
          <w:szCs w:val="22"/>
        </w:rPr>
        <w:t>Defense Counsel</w:t>
      </w:r>
    </w:p>
    <w:p w:rsidR="00003031" w:rsidRPr="00003031" w:rsidRDefault="00003031" w:rsidP="00003031">
      <w:pPr>
        <w:pStyle w:val="TxBrp9"/>
        <w:spacing w:line="240" w:lineRule="auto"/>
        <w:ind w:left="1928"/>
        <w:contextualSpacing/>
        <w:rPr>
          <w:sz w:val="22"/>
          <w:szCs w:val="22"/>
        </w:rPr>
      </w:pPr>
    </w:p>
    <w:p w:rsidR="00003031" w:rsidRPr="00003031" w:rsidRDefault="00003031" w:rsidP="00003031">
      <w:pPr>
        <w:pStyle w:val="TxBrp9"/>
        <w:spacing w:line="240" w:lineRule="auto"/>
        <w:ind w:left="1928"/>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Default="00003031" w:rsidP="00003031">
      <w:pPr>
        <w:pStyle w:val="TxBrt5"/>
        <w:tabs>
          <w:tab w:val="left" w:pos="5760"/>
          <w:tab w:val="left" w:pos="7560"/>
          <w:tab w:val="left" w:pos="8554"/>
        </w:tabs>
        <w:spacing w:line="240" w:lineRule="auto"/>
        <w:contextualSpacing/>
        <w:rPr>
          <w:sz w:val="22"/>
          <w:szCs w:val="22"/>
        </w:rPr>
      </w:pPr>
    </w:p>
    <w:p w:rsidR="00964982" w:rsidRDefault="00964982" w:rsidP="00003031">
      <w:pPr>
        <w:pStyle w:val="TxBrt5"/>
        <w:tabs>
          <w:tab w:val="left" w:pos="5760"/>
          <w:tab w:val="left" w:pos="7560"/>
          <w:tab w:val="left" w:pos="8554"/>
        </w:tabs>
        <w:spacing w:line="240" w:lineRule="auto"/>
        <w:contextualSpacing/>
        <w:rPr>
          <w:sz w:val="22"/>
          <w:szCs w:val="22"/>
        </w:rPr>
      </w:pPr>
    </w:p>
    <w:p w:rsidR="00964982" w:rsidRDefault="00964982" w:rsidP="00003031">
      <w:pPr>
        <w:pStyle w:val="TxBrt5"/>
        <w:tabs>
          <w:tab w:val="left" w:pos="5760"/>
          <w:tab w:val="left" w:pos="7560"/>
          <w:tab w:val="left" w:pos="8554"/>
        </w:tabs>
        <w:spacing w:line="240" w:lineRule="auto"/>
        <w:contextualSpacing/>
        <w:rPr>
          <w:sz w:val="22"/>
          <w:szCs w:val="22"/>
        </w:rPr>
      </w:pPr>
    </w:p>
    <w:p w:rsidR="00964982" w:rsidRDefault="00964982" w:rsidP="00003031">
      <w:pPr>
        <w:pStyle w:val="TxBrt5"/>
        <w:tabs>
          <w:tab w:val="left" w:pos="5760"/>
          <w:tab w:val="left" w:pos="7560"/>
          <w:tab w:val="left" w:pos="8554"/>
        </w:tabs>
        <w:spacing w:line="240" w:lineRule="auto"/>
        <w:contextualSpacing/>
        <w:rPr>
          <w:sz w:val="22"/>
          <w:szCs w:val="22"/>
        </w:rPr>
      </w:pPr>
    </w:p>
    <w:p w:rsidR="00964982" w:rsidRDefault="00964982" w:rsidP="00003031">
      <w:pPr>
        <w:pStyle w:val="TxBrt5"/>
        <w:tabs>
          <w:tab w:val="left" w:pos="5760"/>
          <w:tab w:val="left" w:pos="7560"/>
          <w:tab w:val="left" w:pos="8554"/>
        </w:tabs>
        <w:spacing w:line="240" w:lineRule="auto"/>
        <w:contextualSpacing/>
        <w:rPr>
          <w:sz w:val="22"/>
          <w:szCs w:val="22"/>
        </w:rPr>
      </w:pPr>
    </w:p>
    <w:p w:rsidR="00964982" w:rsidRDefault="00964982" w:rsidP="00003031">
      <w:pPr>
        <w:pStyle w:val="TxBrt5"/>
        <w:tabs>
          <w:tab w:val="left" w:pos="5760"/>
          <w:tab w:val="left" w:pos="7560"/>
          <w:tab w:val="left" w:pos="8554"/>
        </w:tabs>
        <w:spacing w:line="240" w:lineRule="auto"/>
        <w:contextualSpacing/>
        <w:rPr>
          <w:sz w:val="22"/>
          <w:szCs w:val="22"/>
        </w:rPr>
      </w:pPr>
    </w:p>
    <w:p w:rsidR="00964982" w:rsidRDefault="00964982" w:rsidP="00003031">
      <w:pPr>
        <w:pStyle w:val="TxBrt5"/>
        <w:tabs>
          <w:tab w:val="left" w:pos="5760"/>
          <w:tab w:val="left" w:pos="7560"/>
          <w:tab w:val="left" w:pos="8554"/>
        </w:tabs>
        <w:spacing w:line="240" w:lineRule="auto"/>
        <w:contextualSpacing/>
        <w:rPr>
          <w:sz w:val="22"/>
          <w:szCs w:val="22"/>
        </w:rPr>
      </w:pPr>
    </w:p>
    <w:p w:rsidR="00964982" w:rsidRPr="00003031" w:rsidRDefault="00964982"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contextualSpacing/>
        <w:jc w:val="center"/>
        <w:rPr>
          <w:sz w:val="22"/>
          <w:szCs w:val="22"/>
        </w:rPr>
      </w:pP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t xml:space="preserve">App. Ex. </w:t>
      </w:r>
      <w:r w:rsidRPr="00003031">
        <w:rPr>
          <w:sz w:val="22"/>
          <w:szCs w:val="22"/>
          <w:u w:val="single"/>
        </w:rPr>
        <w:tab/>
      </w:r>
      <w:r w:rsidRPr="00003031">
        <w:rPr>
          <w:sz w:val="22"/>
          <w:szCs w:val="22"/>
        </w:rPr>
        <w:t>(</w:t>
      </w:r>
      <w:r w:rsidR="00FB0820">
        <w:rPr>
          <w:sz w:val="22"/>
          <w:szCs w:val="22"/>
        </w:rPr>
        <w:t>2</w:t>
      </w:r>
      <w:r w:rsidRPr="00003031">
        <w:rPr>
          <w:sz w:val="22"/>
          <w:szCs w:val="22"/>
        </w:rPr>
        <w:t xml:space="preserve"> of </w:t>
      </w:r>
      <w:r w:rsidR="00FB0820">
        <w:rPr>
          <w:sz w:val="22"/>
          <w:szCs w:val="22"/>
        </w:rPr>
        <w:t>2</w:t>
      </w:r>
      <w:r w:rsidRPr="00003031">
        <w:rPr>
          <w:sz w:val="22"/>
          <w:szCs w:val="22"/>
        </w:rPr>
        <w:t>)</w:t>
      </w:r>
    </w:p>
    <w:sectPr w:rsidR="00003031" w:rsidRPr="0000303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31"/>
    <w:rsid w:val="00003031"/>
    <w:rsid w:val="000A712D"/>
    <w:rsid w:val="00217B89"/>
    <w:rsid w:val="00255427"/>
    <w:rsid w:val="00310F9D"/>
    <w:rsid w:val="006E0656"/>
    <w:rsid w:val="00785FC5"/>
    <w:rsid w:val="007D33B2"/>
    <w:rsid w:val="00842296"/>
    <w:rsid w:val="00964982"/>
    <w:rsid w:val="00B42B70"/>
    <w:rsid w:val="00B96D8C"/>
    <w:rsid w:val="00BC0F0F"/>
    <w:rsid w:val="00CC238E"/>
    <w:rsid w:val="00D35924"/>
    <w:rsid w:val="00D74952"/>
    <w:rsid w:val="00E17A73"/>
    <w:rsid w:val="00FB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915FB"/>
  <w15:chartTrackingRefBased/>
  <w15:docId w15:val="{CA3E4274-AE3E-4A6F-B465-B10A4691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003031"/>
    <w:pPr>
      <w:spacing w:after="24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ine1">
    <w:name w:val="Header Line 1"/>
    <w:aliases w:val="hl1"/>
    <w:basedOn w:val="Header"/>
    <w:rsid w:val="00003031"/>
    <w:pPr>
      <w:tabs>
        <w:tab w:val="clear" w:pos="4680"/>
        <w:tab w:val="clear" w:pos="9360"/>
        <w:tab w:val="center" w:pos="4320"/>
        <w:tab w:val="right" w:pos="8640"/>
      </w:tabs>
    </w:pPr>
    <w:rPr>
      <w:b/>
      <w:smallCaps/>
    </w:rPr>
  </w:style>
  <w:style w:type="paragraph" w:customStyle="1" w:styleId="TxBrt2">
    <w:name w:val="TxBr_t2"/>
    <w:basedOn w:val="Normal"/>
    <w:rsid w:val="00003031"/>
    <w:pPr>
      <w:widowControl w:val="0"/>
      <w:spacing w:after="0" w:line="240" w:lineRule="atLeast"/>
      <w:jc w:val="left"/>
    </w:pPr>
    <w:rPr>
      <w:snapToGrid w:val="0"/>
    </w:rPr>
  </w:style>
  <w:style w:type="paragraph" w:customStyle="1" w:styleId="TxBrp4">
    <w:name w:val="TxBr_p4"/>
    <w:basedOn w:val="Normal"/>
    <w:rsid w:val="00003031"/>
    <w:pPr>
      <w:widowControl w:val="0"/>
      <w:tabs>
        <w:tab w:val="left" w:pos="204"/>
      </w:tabs>
      <w:spacing w:after="0" w:line="436" w:lineRule="atLeast"/>
      <w:jc w:val="left"/>
    </w:pPr>
    <w:rPr>
      <w:snapToGrid w:val="0"/>
    </w:rPr>
  </w:style>
  <w:style w:type="paragraph" w:customStyle="1" w:styleId="TxBrt5">
    <w:name w:val="TxBr_t5"/>
    <w:basedOn w:val="Normal"/>
    <w:rsid w:val="00003031"/>
    <w:pPr>
      <w:widowControl w:val="0"/>
      <w:spacing w:after="0" w:line="240" w:lineRule="atLeast"/>
      <w:jc w:val="left"/>
    </w:pPr>
    <w:rPr>
      <w:snapToGrid w:val="0"/>
    </w:rPr>
  </w:style>
  <w:style w:type="paragraph" w:customStyle="1" w:styleId="TxBrp9">
    <w:name w:val="TxBr_p9"/>
    <w:basedOn w:val="Normal"/>
    <w:rsid w:val="00003031"/>
    <w:pPr>
      <w:widowControl w:val="0"/>
      <w:tabs>
        <w:tab w:val="left" w:pos="1927"/>
      </w:tabs>
      <w:spacing w:after="0" w:line="240" w:lineRule="atLeast"/>
      <w:ind w:left="1532"/>
      <w:jc w:val="left"/>
    </w:pPr>
    <w:rPr>
      <w:snapToGrid w:val="0"/>
    </w:rPr>
  </w:style>
  <w:style w:type="paragraph" w:styleId="Header">
    <w:name w:val="header"/>
    <w:basedOn w:val="Normal"/>
    <w:link w:val="HeaderChar"/>
    <w:semiHidden/>
    <w:unhideWhenUsed/>
    <w:rsid w:val="00003031"/>
    <w:pPr>
      <w:tabs>
        <w:tab w:val="center" w:pos="4680"/>
        <w:tab w:val="right" w:pos="9360"/>
      </w:tabs>
      <w:spacing w:after="0"/>
    </w:pPr>
  </w:style>
  <w:style w:type="character" w:customStyle="1" w:styleId="HeaderChar">
    <w:name w:val="Header Char"/>
    <w:basedOn w:val="DefaultParagraphFont"/>
    <w:link w:val="Header"/>
    <w:semiHidden/>
    <w:rsid w:val="00003031"/>
    <w:rPr>
      <w:sz w:val="24"/>
    </w:rPr>
  </w:style>
  <w:style w:type="paragraph" w:customStyle="1" w:styleId="TxBrp6">
    <w:name w:val="TxBr_p6"/>
    <w:basedOn w:val="Normal"/>
    <w:rsid w:val="00003031"/>
    <w:pPr>
      <w:widowControl w:val="0"/>
      <w:tabs>
        <w:tab w:val="left" w:pos="204"/>
      </w:tabs>
      <w:spacing w:after="0" w:line="240" w:lineRule="atLeast"/>
      <w:jc w:val="left"/>
    </w:pPr>
    <w:rPr>
      <w:snapToGrid w:val="0"/>
    </w:rPr>
  </w:style>
  <w:style w:type="paragraph" w:customStyle="1" w:styleId="TxBrp7">
    <w:name w:val="TxBr_p7"/>
    <w:basedOn w:val="Normal"/>
    <w:rsid w:val="00003031"/>
    <w:pPr>
      <w:widowControl w:val="0"/>
      <w:tabs>
        <w:tab w:val="left" w:pos="2154"/>
      </w:tabs>
      <w:spacing w:after="0" w:line="240" w:lineRule="atLeast"/>
      <w:ind w:left="1759"/>
      <w:jc w:val="left"/>
    </w:pPr>
    <w:rPr>
      <w:snapToGrid w:val="0"/>
    </w:rPr>
  </w:style>
  <w:style w:type="paragraph" w:customStyle="1" w:styleId="TxBrc8">
    <w:name w:val="TxBr_c8"/>
    <w:basedOn w:val="Normal"/>
    <w:rsid w:val="00003031"/>
    <w:pPr>
      <w:widowControl w:val="0"/>
      <w:spacing w:after="0" w:line="240" w:lineRule="atLeast"/>
      <w:jc w:val="center"/>
    </w:pPr>
    <w:rPr>
      <w:snapToGrid w:val="0"/>
    </w:rPr>
  </w:style>
  <w:style w:type="paragraph" w:customStyle="1" w:styleId="TxBrc3">
    <w:name w:val="TxBr_c3"/>
    <w:basedOn w:val="Normal"/>
    <w:rsid w:val="00003031"/>
    <w:pPr>
      <w:widowControl w:val="0"/>
      <w:spacing w:after="0" w:line="240" w:lineRule="atLeast"/>
      <w:jc w:val="center"/>
    </w:pPr>
    <w:rPr>
      <w:snapToGrid w:val="0"/>
    </w:rPr>
  </w:style>
  <w:style w:type="paragraph" w:customStyle="1" w:styleId="TxBrp14">
    <w:name w:val="TxBr_p14"/>
    <w:basedOn w:val="Normal"/>
    <w:rsid w:val="00003031"/>
    <w:pPr>
      <w:widowControl w:val="0"/>
      <w:tabs>
        <w:tab w:val="left" w:pos="1354"/>
      </w:tabs>
      <w:spacing w:after="0" w:line="436" w:lineRule="atLeast"/>
      <w:ind w:left="959"/>
      <w:jc w:val="left"/>
    </w:pPr>
    <w:rPr>
      <w:snapToGrid w:val="0"/>
    </w:rPr>
  </w:style>
  <w:style w:type="paragraph" w:styleId="BalloonText">
    <w:name w:val="Balloon Text"/>
    <w:basedOn w:val="Normal"/>
    <w:link w:val="BalloonTextChar"/>
    <w:semiHidden/>
    <w:unhideWhenUsed/>
    <w:rsid w:val="00217B8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7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B1D1C-1D05-40BA-B1AF-1F2B466A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7B8BFC34</Template>
  <TotalTime>0</TotalTime>
  <Pages>2</Pages>
  <Words>736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 Stephen LCDR</dc:creator>
  <cp:keywords/>
  <dc:description/>
  <cp:lastModifiedBy>Miros, Stephen LCDR</cp:lastModifiedBy>
  <cp:revision>4</cp:revision>
  <cp:lastPrinted>2018-12-16T15:58:00Z</cp:lastPrinted>
  <dcterms:created xsi:type="dcterms:W3CDTF">2018-12-16T16:46:00Z</dcterms:created>
  <dcterms:modified xsi:type="dcterms:W3CDTF">2018-12-16T16:51:00Z</dcterms:modified>
</cp:coreProperties>
</file>